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33AC3DF5"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4B9D" w:rsidRPr="00C34B9D">
              <w:rPr>
                <w:rFonts w:asciiTheme="majorHAnsi" w:hAnsiTheme="majorHAnsi" w:cs="Arial"/>
                <w:b/>
                <w:sz w:val="18"/>
                <w:szCs w:val="18"/>
              </w:rPr>
              <w:t>Chemistry and water quality</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6F34359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4B9D">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7456A93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4B9D">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E07675">
                    <w:rPr>
                      <w:rFonts w:asciiTheme="majorHAnsi" w:hAnsiTheme="majorHAnsi" w:cs="Arial"/>
                      <w:b/>
                      <w:sz w:val="18"/>
                      <w:szCs w:val="18"/>
                    </w:rPr>
                  </w:r>
                  <w:r w:rsidR="00E07675">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62FA952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4DB6">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4238A71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4DB6">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38A4F8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4DB6">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1DEBBD3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4DB6" w:rsidRPr="007D4DB6">
              <w:rPr>
                <w:rFonts w:asciiTheme="majorHAnsi" w:hAnsiTheme="majorHAnsi"/>
                <w:b/>
                <w:sz w:val="18"/>
                <w:szCs w:val="18"/>
              </w:rPr>
              <w:t>22,50</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420D2F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621D8DD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4DB6" w:rsidRPr="007D4DB6">
              <w:rPr>
                <w:rFonts w:asciiTheme="majorHAnsi" w:hAnsiTheme="majorHAnsi"/>
                <w:b/>
                <w:sz w:val="18"/>
                <w:szCs w:val="18"/>
              </w:rPr>
              <w:t>118,66</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72B1631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20D3810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4DB6" w:rsidRPr="007D4DB6">
              <w:rPr>
                <w:rFonts w:asciiTheme="majorHAnsi" w:hAnsiTheme="majorHAnsi" w:cs="Arial"/>
                <w:b/>
                <w:sz w:val="18"/>
                <w:szCs w:val="18"/>
              </w:rPr>
              <w:t>141,16</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1D7A177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w:t>
            </w:r>
            <w:r w:rsidR="007D4DB6" w:rsidRPr="007D4DB6">
              <w:rPr>
                <w:rFonts w:asciiTheme="majorHAnsi" w:hAnsiTheme="majorHAnsi" w:cs="Arial"/>
                <w:b/>
                <w:sz w:val="18"/>
                <w:szCs w:val="18"/>
              </w:rPr>
              <w:t>Environmental chemistry and quality control</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3093F8D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sidRPr="007D4DB6">
              <w:rPr>
                <w:rFonts w:asciiTheme="majorHAnsi" w:hAnsiTheme="majorHAnsi" w:cs="Arial"/>
                <w:b/>
                <w:sz w:val="18"/>
                <w:szCs w:val="18"/>
              </w:rPr>
              <w:t>To impart basic knowledge and acquired experiences to students in order to better understand certain areas of environmental chemistry. To improve their communication skills in written and verbal form, as well as skills related to individual, team/group experimental work, and continuous work during the semester.</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648D72D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sidRPr="007D4DB6">
              <w:rPr>
                <w:rFonts w:asciiTheme="majorHAnsi" w:hAnsiTheme="majorHAnsi" w:cs="Arial"/>
                <w:b/>
                <w:sz w:val="18"/>
                <w:szCs w:val="18"/>
              </w:rPr>
              <w:t>Introduction to the composition of water, pollutants in water, and their sampling and determination. After completing and successfully passing the course, students should master basic knowledge about the environment and its pollution. After successfully completing the course, the student is able to apply the acquired knowledge and skills in studying and protecting the environment from various pollutants.</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1EC0D1F" w14:textId="7255B8B3" w:rsidR="00CB72ED" w:rsidRPr="00B96B4F" w:rsidRDefault="006D5B9B" w:rsidP="007D4DB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4DB6" w:rsidRPr="007D4DB6">
              <w:rPr>
                <w:rFonts w:asciiTheme="majorHAnsi" w:hAnsiTheme="majorHAnsi" w:cs="Arial"/>
                <w:b/>
                <w:sz w:val="18"/>
                <w:szCs w:val="18"/>
              </w:rPr>
              <w:t>Natural sciences and chemistry. Main forms of environmental pollution. Living environment - concept and significance. Basic living media - air, water, soil. Basic characteristics of water. Main dissolved components in rivers. Impact of wastewater on watercourses. Na+, Mg2+, Ca2+ and K+ in rain. Sulfates in rain - atmospheric cycle S. Carbon cycle, C. Phosphorus cycle, P. Water cycle (hydrological cycle). Conditions for wastewater discharge. Wastewater treatment. Wastewater treatment processes. Biological wastewater treatment processes. Physico-chemical treatment processes. Sludge treatment. Education and information on the environment and sustainable development. Environmental legislation in Bosnia and Herzegovina. Environmental management system ISO 14001.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852F782" w14:textId="77777777" w:rsidR="007D4DB6" w:rsidRPr="007D4DB6" w:rsidRDefault="006D5B9B" w:rsidP="007D4DB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sidRPr="007D4DB6">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14:paraId="01EE1ED5" w14:textId="77777777" w:rsidR="007D4DB6" w:rsidRPr="007D4DB6" w:rsidRDefault="007D4DB6" w:rsidP="007D4DB6">
            <w:pPr>
              <w:pStyle w:val="NoSpacing"/>
              <w:rPr>
                <w:rFonts w:asciiTheme="majorHAnsi" w:hAnsiTheme="majorHAnsi" w:cs="Arial"/>
                <w:b/>
                <w:sz w:val="18"/>
                <w:szCs w:val="18"/>
              </w:rPr>
            </w:pPr>
            <w:r w:rsidRPr="007D4DB6">
              <w:rPr>
                <w:rFonts w:asciiTheme="majorHAnsi" w:hAnsiTheme="majorHAnsi" w:cs="Arial"/>
                <w:b/>
                <w:sz w:val="18"/>
                <w:szCs w:val="18"/>
              </w:rPr>
              <w:t>- lectures using multimedia tools, active learning techniques and with active student participation and discussions;</w:t>
            </w:r>
          </w:p>
          <w:p w14:paraId="2721745F" w14:textId="77777777" w:rsidR="007D4DB6" w:rsidRPr="007D4DB6" w:rsidRDefault="007D4DB6" w:rsidP="007D4DB6">
            <w:pPr>
              <w:pStyle w:val="NoSpacing"/>
              <w:rPr>
                <w:rFonts w:asciiTheme="majorHAnsi" w:hAnsiTheme="majorHAnsi" w:cs="Arial"/>
                <w:b/>
                <w:sz w:val="18"/>
                <w:szCs w:val="18"/>
              </w:rPr>
            </w:pPr>
            <w:r w:rsidRPr="007D4DB6">
              <w:rPr>
                <w:rFonts w:asciiTheme="majorHAnsi" w:hAnsiTheme="majorHAnsi" w:cs="Arial"/>
                <w:b/>
                <w:sz w:val="18"/>
                <w:szCs w:val="18"/>
              </w:rPr>
              <w:t>- practical exercises</w:t>
            </w:r>
          </w:p>
          <w:p w14:paraId="74873F94" w14:textId="497A33AF" w:rsidR="00CB72ED" w:rsidRPr="00B96B4F" w:rsidRDefault="007D4DB6" w:rsidP="007D4DB6">
            <w:pPr>
              <w:pStyle w:val="NoSpacing"/>
              <w:rPr>
                <w:rFonts w:asciiTheme="majorHAnsi" w:hAnsiTheme="majorHAnsi" w:cs="Arial"/>
                <w:b/>
                <w:sz w:val="18"/>
                <w:szCs w:val="18"/>
              </w:rPr>
            </w:pPr>
            <w:r w:rsidRPr="007D4DB6">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6546C50" w14:textId="77777777" w:rsidR="00C34B9D" w:rsidRPr="00C34B9D" w:rsidRDefault="006D5B9B" w:rsidP="00C34B9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4B9D" w:rsidRPr="00C34B9D">
              <w:rPr>
                <w:rFonts w:asciiTheme="majorHAnsi" w:hAnsiTheme="majorHAnsi" w:cs="Arial"/>
                <w:b/>
                <w:sz w:val="18"/>
                <w:szCs w:val="18"/>
              </w:rPr>
              <w:t>Written knowledge assessment: Test 1, Test 2 and Final exam</w:t>
            </w:r>
          </w:p>
          <w:p w14:paraId="1FCC3F56" w14:textId="77777777" w:rsidR="00C34B9D" w:rsidRPr="00C34B9D" w:rsidRDefault="00C34B9D" w:rsidP="00C34B9D">
            <w:pPr>
              <w:pStyle w:val="NoSpacing"/>
              <w:rPr>
                <w:rFonts w:asciiTheme="majorHAnsi" w:hAnsiTheme="majorHAnsi" w:cs="Arial"/>
                <w:b/>
                <w:sz w:val="18"/>
                <w:szCs w:val="18"/>
              </w:rPr>
            </w:pPr>
            <w:r w:rsidRPr="00C34B9D">
              <w:rPr>
                <w:rFonts w:asciiTheme="majorHAnsi" w:hAnsiTheme="majorHAnsi" w:cs="Arial"/>
                <w:b/>
                <w:sz w:val="18"/>
                <w:szCs w:val="18"/>
              </w:rPr>
              <w:t>Test I includes knowledge assessment from the planned methodological units and carries 20 points.</w:t>
            </w:r>
          </w:p>
          <w:p w14:paraId="79A68CE5" w14:textId="77777777" w:rsidR="00C34B9D" w:rsidRPr="00C34B9D" w:rsidRDefault="00C34B9D" w:rsidP="00C34B9D">
            <w:pPr>
              <w:pStyle w:val="NoSpacing"/>
              <w:rPr>
                <w:rFonts w:asciiTheme="majorHAnsi" w:hAnsiTheme="majorHAnsi" w:cs="Arial"/>
                <w:b/>
                <w:sz w:val="18"/>
                <w:szCs w:val="18"/>
              </w:rPr>
            </w:pPr>
            <w:r w:rsidRPr="00C34B9D">
              <w:rPr>
                <w:rFonts w:asciiTheme="majorHAnsi" w:hAnsiTheme="majorHAnsi" w:cs="Arial"/>
                <w:b/>
                <w:sz w:val="18"/>
                <w:szCs w:val="18"/>
              </w:rPr>
              <w:t>Test II includes knowledge assessment from the planned methodological units and carries 20 points.</w:t>
            </w:r>
          </w:p>
          <w:p w14:paraId="502F8244" w14:textId="05783869" w:rsidR="007D4DB6" w:rsidRDefault="00C34B9D" w:rsidP="00C34B9D">
            <w:pPr>
              <w:pStyle w:val="NoSpacing"/>
              <w:rPr>
                <w:rFonts w:asciiTheme="majorHAnsi" w:hAnsiTheme="majorHAnsi" w:cs="Arial"/>
                <w:b/>
                <w:sz w:val="18"/>
                <w:szCs w:val="18"/>
              </w:rPr>
            </w:pPr>
            <w:r w:rsidRPr="00C34B9D">
              <w:rPr>
                <w:rFonts w:asciiTheme="majorHAnsi" w:hAnsiTheme="majorHAnsi" w:cs="Arial"/>
                <w:b/>
                <w:sz w:val="18"/>
                <w:szCs w:val="18"/>
              </w:rPr>
              <w:t>The final exam is scored with 40 points and includes knowledge assessment from the entire material, the minimum number of points on the final exam is 22.</w:t>
            </w:r>
          </w:p>
          <w:p w14:paraId="67D2912B" w14:textId="77777777" w:rsidR="007D4DB6" w:rsidRDefault="007D4DB6" w:rsidP="00D16A5A">
            <w:pPr>
              <w:pStyle w:val="NoSpacing"/>
              <w:rPr>
                <w:rFonts w:asciiTheme="majorHAnsi" w:hAnsiTheme="majorHAnsi" w:cs="Arial"/>
                <w:b/>
                <w:sz w:val="18"/>
                <w:szCs w:val="18"/>
              </w:rPr>
            </w:pPr>
          </w:p>
          <w:p w14:paraId="453F24BD" w14:textId="49A55C4B"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final success of the student is expressed by a numerical, descriptive or letter grade, according to the following scale:</w:t>
            </w:r>
          </w:p>
          <w:p w14:paraId="22714632" w14:textId="15527E24"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w:t>
            </w:r>
            <w:r w:rsidR="00C34B9D">
              <w:rPr>
                <w:rFonts w:asciiTheme="majorHAnsi" w:hAnsiTheme="majorHAnsi" w:cs="Arial"/>
                <w:b/>
                <w:sz w:val="18"/>
                <w:szCs w:val="18"/>
              </w:rPr>
              <w:t xml:space="preserve">insufficijent       </w:t>
            </w:r>
            <w:r w:rsidRPr="00D16A5A">
              <w:rPr>
                <w:rFonts w:asciiTheme="majorHAnsi" w:hAnsiTheme="majorHAnsi" w:cs="Arial"/>
                <w:b/>
                <w:sz w:val="18"/>
                <w:szCs w:val="18"/>
              </w:rPr>
              <w:t xml:space="preserve">        </w:t>
            </w:r>
            <w:r w:rsidR="00C34B9D">
              <w:rPr>
                <w:rFonts w:asciiTheme="majorHAnsi" w:hAnsiTheme="majorHAnsi" w:cs="Arial"/>
                <w:b/>
                <w:sz w:val="18"/>
                <w:szCs w:val="18"/>
              </w:rPr>
              <w:t xml:space="preserve">    </w:t>
            </w:r>
            <w:r w:rsidRPr="00D16A5A">
              <w:rPr>
                <w:rFonts w:asciiTheme="majorHAnsi" w:hAnsiTheme="majorHAnsi" w:cs="Arial"/>
                <w:b/>
                <w:sz w:val="18"/>
                <w:szCs w:val="18"/>
              </w:rPr>
              <w:t xml:space="preserve">     F </w:t>
            </w:r>
          </w:p>
          <w:p w14:paraId="6E9EB657" w14:textId="5BAB63C8"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55-64                                      6 (six)                </w:t>
            </w:r>
            <w:r w:rsidR="00C34B9D">
              <w:rPr>
                <w:rFonts w:asciiTheme="majorHAnsi" w:hAnsiTheme="majorHAnsi" w:cs="Arial"/>
                <w:b/>
                <w:sz w:val="18"/>
                <w:szCs w:val="18"/>
              </w:rPr>
              <w:t>sufficient</w:t>
            </w:r>
            <w:r w:rsidRPr="00D16A5A">
              <w:rPr>
                <w:rFonts w:asciiTheme="majorHAnsi" w:hAnsiTheme="majorHAnsi" w:cs="Arial"/>
                <w:b/>
                <w:sz w:val="18"/>
                <w:szCs w:val="18"/>
              </w:rPr>
              <w:t xml:space="preserve">                      </w:t>
            </w:r>
            <w:r w:rsidR="00C34B9D">
              <w:rPr>
                <w:rFonts w:asciiTheme="majorHAnsi" w:hAnsiTheme="majorHAnsi" w:cs="Arial"/>
                <w:b/>
                <w:sz w:val="18"/>
                <w:szCs w:val="18"/>
              </w:rPr>
              <w:t xml:space="preserve">   </w:t>
            </w:r>
            <w:r w:rsidRPr="00D16A5A">
              <w:rPr>
                <w:rFonts w:asciiTheme="majorHAnsi" w:hAnsiTheme="majorHAnsi" w:cs="Arial"/>
                <w:b/>
                <w:sz w:val="18"/>
                <w:szCs w:val="18"/>
              </w:rPr>
              <w:t xml:space="preserve">    E</w:t>
            </w:r>
          </w:p>
          <w:p w14:paraId="59C62110" w14:textId="75712319"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65-74                                      7(seven)           good                                   </w:t>
            </w:r>
            <w:r w:rsidR="00C34B9D">
              <w:rPr>
                <w:rFonts w:asciiTheme="majorHAnsi" w:hAnsiTheme="majorHAnsi" w:cs="Arial"/>
                <w:b/>
                <w:sz w:val="18"/>
                <w:szCs w:val="18"/>
              </w:rPr>
              <w:t xml:space="preserve">    </w:t>
            </w:r>
            <w:r w:rsidRPr="00D16A5A">
              <w:rPr>
                <w:rFonts w:asciiTheme="majorHAnsi" w:hAnsiTheme="majorHAnsi" w:cs="Arial"/>
                <w:b/>
                <w:sz w:val="18"/>
                <w:szCs w:val="18"/>
              </w:rPr>
              <w:t>D</w:t>
            </w:r>
          </w:p>
          <w:p w14:paraId="20EF4D96" w14:textId="159D1689"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w:t>
            </w:r>
            <w:r w:rsidR="00C34B9D">
              <w:rPr>
                <w:rFonts w:asciiTheme="majorHAnsi" w:hAnsiTheme="majorHAnsi" w:cs="Arial"/>
                <w:b/>
                <w:sz w:val="18"/>
                <w:szCs w:val="18"/>
              </w:rPr>
              <w:t xml:space="preserve">    </w:t>
            </w:r>
            <w:r w:rsidRPr="00D16A5A">
              <w:rPr>
                <w:rFonts w:asciiTheme="majorHAnsi" w:hAnsiTheme="majorHAnsi" w:cs="Arial"/>
                <w:b/>
                <w:sz w:val="18"/>
                <w:szCs w:val="18"/>
              </w:rPr>
              <w:t xml:space="preserve">C </w:t>
            </w:r>
          </w:p>
          <w:p w14:paraId="1780471D" w14:textId="2CFD7A3A"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w:t>
            </w:r>
            <w:r w:rsidR="00C34B9D">
              <w:rPr>
                <w:rFonts w:asciiTheme="majorHAnsi" w:hAnsiTheme="majorHAnsi" w:cs="Arial"/>
                <w:b/>
                <w:sz w:val="18"/>
                <w:szCs w:val="18"/>
              </w:rPr>
              <w:t xml:space="preserve">excellent       </w:t>
            </w:r>
            <w:r w:rsidRPr="00D16A5A">
              <w:rPr>
                <w:rFonts w:asciiTheme="majorHAnsi" w:hAnsiTheme="majorHAnsi" w:cs="Arial"/>
                <w:b/>
                <w:sz w:val="18"/>
                <w:szCs w:val="18"/>
              </w:rPr>
              <w:t xml:space="preserve">                    </w:t>
            </w:r>
            <w:r w:rsidR="00C34B9D">
              <w:rPr>
                <w:rFonts w:asciiTheme="majorHAnsi" w:hAnsiTheme="majorHAnsi" w:cs="Arial"/>
                <w:b/>
                <w:sz w:val="18"/>
                <w:szCs w:val="18"/>
              </w:rPr>
              <w:t xml:space="preserve">   </w:t>
            </w:r>
            <w:r w:rsidRPr="00D16A5A">
              <w:rPr>
                <w:rFonts w:asciiTheme="majorHAnsi" w:hAnsiTheme="majorHAnsi" w:cs="Arial"/>
                <w:b/>
                <w:sz w:val="18"/>
                <w:szCs w:val="18"/>
              </w:rPr>
              <w:t xml:space="preserve">B </w:t>
            </w:r>
          </w:p>
          <w:p w14:paraId="2F34F249" w14:textId="67F00735"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95-100                                   10(ten)              </w:t>
            </w:r>
            <w:r w:rsidR="00C34B9D">
              <w:rPr>
                <w:rFonts w:asciiTheme="majorHAnsi" w:hAnsiTheme="majorHAnsi" w:cs="Arial"/>
                <w:b/>
                <w:sz w:val="18"/>
                <w:szCs w:val="18"/>
              </w:rPr>
              <w:t>outstanding</w:t>
            </w:r>
            <w:r w:rsidRPr="00D16A5A">
              <w:rPr>
                <w:rFonts w:asciiTheme="majorHAnsi" w:hAnsiTheme="majorHAnsi" w:cs="Arial"/>
                <w:b/>
                <w:sz w:val="18"/>
                <w:szCs w:val="18"/>
              </w:rPr>
              <w:t xml:space="preserve">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74B1A656" w14:textId="217CD1AD" w:rsidR="00D16A5A" w:rsidRPr="00D16A5A" w:rsidRDefault="00C34B9D" w:rsidP="00D16A5A">
            <w:pPr>
              <w:pStyle w:val="NoSpacing"/>
              <w:rPr>
                <w:rFonts w:asciiTheme="majorHAnsi" w:hAnsiTheme="majorHAnsi" w:cs="Arial"/>
                <w:b/>
                <w:sz w:val="18"/>
                <w:szCs w:val="18"/>
              </w:rPr>
            </w:pPr>
            <w:r>
              <w:rPr>
                <w:rFonts w:asciiTheme="majorHAnsi" w:hAnsiTheme="majorHAnsi" w:cs="Arial"/>
                <w:b/>
                <w:sz w:val="18"/>
                <w:szCs w:val="18"/>
              </w:rPr>
              <w:t xml:space="preserve">Seminar paper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Pr>
                <w:rFonts w:asciiTheme="majorHAnsi" w:hAnsiTheme="majorHAnsi" w:cs="Arial"/>
                <w:b/>
                <w:sz w:val="18"/>
                <w:szCs w:val="18"/>
              </w:rPr>
              <w:t>8</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1</w:t>
            </w:r>
            <w:r>
              <w:rPr>
                <w:rFonts w:asciiTheme="majorHAnsi" w:hAnsiTheme="majorHAnsi" w:cs="Arial"/>
                <w:b/>
                <w:sz w:val="18"/>
                <w:szCs w:val="18"/>
              </w:rPr>
              <w:t>5</w:t>
            </w:r>
          </w:p>
          <w:p w14:paraId="5E472E12" w14:textId="6898A91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AE7BEB">
              <w:rPr>
                <w:rFonts w:asciiTheme="majorHAnsi" w:hAnsiTheme="majorHAnsi" w:cs="Arial"/>
                <w:b/>
                <w:sz w:val="18"/>
                <w:szCs w:val="18"/>
              </w:rPr>
              <w:t>2</w:t>
            </w:r>
            <w:r w:rsidR="002916B8">
              <w:rPr>
                <w:rFonts w:asciiTheme="majorHAnsi" w:hAnsiTheme="majorHAnsi" w:cs="Arial"/>
                <w:b/>
                <w:sz w:val="18"/>
                <w:szCs w:val="18"/>
              </w:rPr>
              <w:t>2</w:t>
            </w:r>
            <w:r w:rsidRPr="00D16A5A">
              <w:rPr>
                <w:rFonts w:asciiTheme="majorHAnsi" w:hAnsiTheme="majorHAnsi" w:cs="Arial"/>
                <w:b/>
                <w:sz w:val="18"/>
                <w:szCs w:val="18"/>
              </w:rPr>
              <w:t xml:space="preserve">          </w:t>
            </w:r>
            <w:r w:rsidR="00AE7BEB">
              <w:rPr>
                <w:rFonts w:asciiTheme="majorHAnsi" w:hAnsiTheme="majorHAnsi" w:cs="Arial"/>
                <w:b/>
                <w:sz w:val="18"/>
                <w:szCs w:val="18"/>
              </w:rPr>
              <w:t>4</w:t>
            </w:r>
            <w:r w:rsidR="00C34B9D">
              <w:rPr>
                <w:rFonts w:asciiTheme="majorHAnsi" w:hAnsiTheme="majorHAnsi" w:cs="Arial"/>
                <w:b/>
                <w:sz w:val="18"/>
                <w:szCs w:val="18"/>
              </w:rPr>
              <w:t>0</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A2AFA5D" w14:textId="77777777" w:rsidR="007D4DB6" w:rsidRPr="007D4DB6" w:rsidRDefault="006D5B9B" w:rsidP="007D4DB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sidRPr="007D4DB6">
              <w:rPr>
                <w:rFonts w:asciiTheme="majorHAnsi" w:hAnsiTheme="majorHAnsi" w:cs="Arial"/>
                <w:b/>
                <w:sz w:val="18"/>
                <w:szCs w:val="18"/>
              </w:rPr>
              <w:t>1. Selimbašić V, Cipurković A, Crnkić A,Hemija i zaštita okoline,OFF-SET,Tuzla,2014.</w:t>
            </w:r>
          </w:p>
          <w:p w14:paraId="7A1C5EE4" w14:textId="3DD3A750" w:rsidR="00CB72ED" w:rsidRPr="00B96B4F" w:rsidRDefault="007D4DB6" w:rsidP="007D4DB6">
            <w:pPr>
              <w:pStyle w:val="NoSpacing"/>
              <w:rPr>
                <w:rFonts w:asciiTheme="majorHAnsi" w:hAnsiTheme="majorHAnsi" w:cs="Arial"/>
                <w:b/>
                <w:sz w:val="18"/>
                <w:szCs w:val="18"/>
              </w:rPr>
            </w:pPr>
            <w:r w:rsidRPr="007D4DB6">
              <w:rPr>
                <w:rFonts w:asciiTheme="majorHAnsi" w:hAnsiTheme="majorHAnsi" w:cs="Arial"/>
                <w:b/>
                <w:sz w:val="18"/>
                <w:szCs w:val="18"/>
              </w:rPr>
              <w:t>2. The Handbook of Environmental Chemistry; Damia Barcelo; Andrey G. Kostianoy, 2012.</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65A6ADC" w14:textId="77777777" w:rsidR="007D4DB6" w:rsidRPr="007D4DB6" w:rsidRDefault="006D5B9B" w:rsidP="007D4DB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4DB6" w:rsidRPr="007D4DB6">
              <w:rPr>
                <w:rFonts w:asciiTheme="majorHAnsi" w:hAnsiTheme="majorHAnsi" w:cs="Arial"/>
                <w:b/>
                <w:sz w:val="18"/>
                <w:szCs w:val="18"/>
              </w:rPr>
              <w:t>1. T.,Muhić-Šarac,Uvod u hemiju životne sredine,PMF,Sarajevo 2011</w:t>
            </w:r>
          </w:p>
          <w:p w14:paraId="17FCC71E" w14:textId="55C220CF" w:rsidR="00CB72ED" w:rsidRPr="00B96B4F" w:rsidRDefault="007D4DB6" w:rsidP="007D4DB6">
            <w:pPr>
              <w:pStyle w:val="NoSpacing"/>
              <w:rPr>
                <w:rFonts w:asciiTheme="majorHAnsi" w:hAnsiTheme="majorHAnsi" w:cs="Arial"/>
                <w:b/>
                <w:sz w:val="18"/>
                <w:szCs w:val="18"/>
              </w:rPr>
            </w:pPr>
            <w:r w:rsidRPr="007D4DB6">
              <w:rPr>
                <w:rFonts w:asciiTheme="majorHAnsi" w:hAnsiTheme="majorHAnsi" w:cs="Arial"/>
                <w:b/>
                <w:sz w:val="18"/>
                <w:szCs w:val="18"/>
              </w:rPr>
              <w:t>2. Environmental &amp; pollution science; Ian L. Pepper, Charles P. Gerba, Mark L. Brusseau 2006 Edition: 2nd ed Elsevier</w:t>
            </w:r>
            <w:r w:rsidR="006D5B9B"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5D27B" w14:textId="77777777" w:rsidR="00E07675" w:rsidRDefault="00E07675">
      <w:pPr>
        <w:spacing w:line="240" w:lineRule="auto"/>
      </w:pPr>
      <w:r>
        <w:separator/>
      </w:r>
    </w:p>
  </w:endnote>
  <w:endnote w:type="continuationSeparator" w:id="0">
    <w:p w14:paraId="531A57ED" w14:textId="77777777" w:rsidR="00E07675" w:rsidRDefault="00E07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0065659B"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36FF1">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C36FF1">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C36FF1">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01DAB" w14:textId="77777777" w:rsidR="00E07675" w:rsidRDefault="00E07675">
      <w:pPr>
        <w:spacing w:after="0"/>
      </w:pPr>
      <w:r>
        <w:separator/>
      </w:r>
    </w:p>
  </w:footnote>
  <w:footnote w:type="continuationSeparator" w:id="0">
    <w:p w14:paraId="1B3A5986" w14:textId="77777777" w:rsidR="00E07675" w:rsidRDefault="00E076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C31"/>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632F"/>
    <w:rsid w:val="0024315F"/>
    <w:rsid w:val="00243A9F"/>
    <w:rsid w:val="00244AED"/>
    <w:rsid w:val="00252D30"/>
    <w:rsid w:val="0026034D"/>
    <w:rsid w:val="00263142"/>
    <w:rsid w:val="00275EF2"/>
    <w:rsid w:val="00276F0F"/>
    <w:rsid w:val="002916B8"/>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077BF"/>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07265"/>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D4DB6"/>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42AB"/>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05D"/>
    <w:rsid w:val="009C43EF"/>
    <w:rsid w:val="009D7C2B"/>
    <w:rsid w:val="009E2A80"/>
    <w:rsid w:val="009E2DF7"/>
    <w:rsid w:val="009E3DB1"/>
    <w:rsid w:val="009E56CB"/>
    <w:rsid w:val="009E69B9"/>
    <w:rsid w:val="009E79AC"/>
    <w:rsid w:val="009F2B36"/>
    <w:rsid w:val="00A01461"/>
    <w:rsid w:val="00A073BF"/>
    <w:rsid w:val="00A11B6C"/>
    <w:rsid w:val="00A124D0"/>
    <w:rsid w:val="00A155A3"/>
    <w:rsid w:val="00A21010"/>
    <w:rsid w:val="00A22D32"/>
    <w:rsid w:val="00A30395"/>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4B9D"/>
    <w:rsid w:val="00C36FF1"/>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07675"/>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C10FA-9E46-47C5-9E5C-66B0A9EC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Nadira</dc:creator>
  <cp:lastModifiedBy>Nadira</cp:lastModifiedBy>
  <cp:revision>2</cp:revision>
  <cp:lastPrinted>2024-03-25T13:56:00Z</cp:lastPrinted>
  <dcterms:created xsi:type="dcterms:W3CDTF">2026-03-17T10:37:00Z</dcterms:created>
  <dcterms:modified xsi:type="dcterms:W3CDTF">2026-03-17T10:37:00Z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